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Control de convencionalidad sobre </w:t>
      </w:r>
    </w:p>
    <w:p w:rsidR="00000000" w:rsidDel="00000000" w:rsidP="00000000" w:rsidRDefault="00000000" w:rsidRPr="00000000" w14:paraId="00000002">
      <w:pPr>
        <w:spacing w:line="360" w:lineRule="auto"/>
        <w:ind w:firstLine="720"/>
        <w:jc w:val="center"/>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actuaciones de MinTic y MinEducación respecto del Artículo 19 de la Convención de 2022 a 2024</w:t>
      </w:r>
    </w:p>
    <w:p w:rsidR="00000000" w:rsidDel="00000000" w:rsidP="00000000" w:rsidRDefault="00000000" w:rsidRPr="00000000" w14:paraId="00000003">
      <w:pPr>
        <w:spacing w:line="360" w:lineRule="auto"/>
        <w:rPr>
          <w:rFonts w:ascii="Times New Roman" w:cs="Times New Roman" w:eastAsia="Times New Roman" w:hAnsi="Times New Roman"/>
          <w:b w:val="1"/>
          <w:color w:val="202124"/>
          <w:sz w:val="24"/>
          <w:szCs w:val="24"/>
        </w:rPr>
      </w:pPr>
      <w:r w:rsidDel="00000000" w:rsidR="00000000" w:rsidRPr="00000000">
        <w:rPr>
          <w:rtl w:val="0"/>
        </w:rPr>
      </w:r>
    </w:p>
    <w:p w:rsidR="00000000" w:rsidDel="00000000" w:rsidP="00000000" w:rsidRDefault="00000000" w:rsidRPr="00000000" w14:paraId="00000004">
      <w:pPr>
        <w:spacing w:line="360" w:lineRule="auto"/>
        <w:rPr>
          <w:rFonts w:ascii="Times New Roman" w:cs="Times New Roman" w:eastAsia="Times New Roman" w:hAnsi="Times New Roman"/>
          <w:b w:val="1"/>
          <w:color w:val="202124"/>
          <w:sz w:val="24"/>
          <w:szCs w:val="24"/>
        </w:rPr>
      </w:pPr>
      <w:r w:rsidDel="00000000" w:rsidR="00000000" w:rsidRPr="00000000">
        <w:rPr>
          <w:rtl w:val="0"/>
        </w:rPr>
      </w:r>
    </w:p>
    <w:p w:rsidR="00000000" w:rsidDel="00000000" w:rsidP="00000000" w:rsidRDefault="00000000" w:rsidRPr="00000000" w14:paraId="00000005">
      <w:pPr>
        <w:jc w:val="right"/>
        <w:rPr>
          <w:rFonts w:ascii="Times New Roman" w:cs="Times New Roman" w:eastAsia="Times New Roman" w:hAnsi="Times New Roman"/>
          <w:i w:val="1"/>
        </w:rPr>
      </w:pPr>
      <w:r w:rsidDel="00000000" w:rsidR="00000000" w:rsidRPr="00000000">
        <w:rPr>
          <w:i w:val="1"/>
          <w:vertAlign w:val="superscript"/>
        </w:rPr>
        <w:footnoteReference w:customMarkFollows="0" w:id="0"/>
      </w:r>
      <w:r w:rsidDel="00000000" w:rsidR="00000000" w:rsidRPr="00000000">
        <w:rPr>
          <w:i w:val="1"/>
          <w:rtl w:val="0"/>
        </w:rPr>
        <w:t xml:space="preserve">   </w:t>
      </w:r>
      <w:r w:rsidDel="00000000" w:rsidR="00000000" w:rsidRPr="00000000">
        <w:rPr>
          <w:rFonts w:ascii="Times New Roman" w:cs="Times New Roman" w:eastAsia="Times New Roman" w:hAnsi="Times New Roman"/>
          <w:i w:val="1"/>
          <w:rtl w:val="0"/>
        </w:rPr>
        <w:t xml:space="preserve"> Milena Estefania Aguilera Guanga</w:t>
      </w:r>
    </w:p>
    <w:p w:rsidR="00000000" w:rsidDel="00000000" w:rsidP="00000000" w:rsidRDefault="00000000" w:rsidRPr="00000000" w14:paraId="00000006">
      <w:pPr>
        <w:jc w:val="right"/>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07">
      <w:pPr>
        <w:jc w:val="right"/>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08">
      <w:pPr>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9">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Resumen</w:t>
      </w:r>
    </w:p>
    <w:p w:rsidR="00000000" w:rsidDel="00000000" w:rsidP="00000000" w:rsidRDefault="00000000" w:rsidRPr="00000000" w14:paraId="0000000A">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Corte Interamericana de Derechos Humanos, en los últimos años, ha reparado en precisar que los Estados adheridos a la Convención Americana sobre los Derechos Humanos - Pacto de San José, (en adelante “Convención”), deben ejercer internamente un Control de Convencionalidad para garantizar el correcto cumplimiento de la misma en las distintas actuaciones administrativas que desplieguen. En ese orden de ideas, </w:t>
      </w:r>
      <w:r w:rsidDel="00000000" w:rsidR="00000000" w:rsidRPr="00000000">
        <w:rPr>
          <w:rFonts w:ascii="Times New Roman" w:cs="Times New Roman" w:eastAsia="Times New Roman" w:hAnsi="Times New Roman"/>
          <w:sz w:val="24"/>
          <w:szCs w:val="24"/>
          <w:rtl w:val="0"/>
        </w:rPr>
        <w:t xml:space="preserve">se analizarán las actuaciones del Ministerio de las Tecnologías de la Información y las Comunicaciones y el Ministerio de Educación de Colombia, (en adelante “MinTic” y “MinEducación”); desde el 2022 hasta el 2024. Con el fin de identificar las principales decisiones y pronunciamientos que garantizaron el cumplimiento de los derechos del niño contenidos en el artículo 19 de la Convención, mismos que se extienden a una órbita Estatal, como a nivel familiar y social en los que se desenvuelve un menor</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B">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presente documento de trabajo se realizará mediante la metodología según Sampieri (2014), de modelo cualitativo, de  tipo documental y con un alcance descriptivo; ya que permitirá identificar actos administrativos, pronunciamientos y acuerdos que se puedan contrastar con la Convención Americana sobre su artículo 19 de los derechos del niño. E</w:t>
      </w:r>
      <w:r w:rsidDel="00000000" w:rsidR="00000000" w:rsidRPr="00000000">
        <w:rPr>
          <w:rFonts w:ascii="Times New Roman" w:cs="Times New Roman" w:eastAsia="Times New Roman" w:hAnsi="Times New Roman"/>
          <w:sz w:val="24"/>
          <w:szCs w:val="24"/>
          <w:rtl w:val="0"/>
        </w:rPr>
        <w:t xml:space="preserve">n ese sentido,</w:t>
      </w:r>
      <w:r w:rsidDel="00000000" w:rsidR="00000000" w:rsidRPr="00000000">
        <w:rPr>
          <w:rFonts w:ascii="Times New Roman" w:cs="Times New Roman" w:eastAsia="Times New Roman" w:hAnsi="Times New Roman"/>
          <w:sz w:val="24"/>
          <w:szCs w:val="24"/>
          <w:rtl w:val="0"/>
        </w:rPr>
        <w:t xml:space="preserve"> se llegará a una recopilación que permita visualizar e inferir el alcance de esas intervenciones en proyectos tecnológicos y académicos; así como su trascendencia en los derechos implícitos que debe garantizar el Estado, la familia y la sociedad para el niño,  y su relación a nivel personal, ambiental, educativa y de protección integral.</w:t>
      </w:r>
    </w:p>
    <w:p w:rsidR="00000000" w:rsidDel="00000000" w:rsidP="00000000" w:rsidRDefault="00000000" w:rsidRPr="00000000" w14:paraId="0000000D">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Palabras clave</w:t>
      </w:r>
      <w:r w:rsidDel="00000000" w:rsidR="00000000" w:rsidRPr="00000000">
        <w:rPr>
          <w:rFonts w:ascii="Times New Roman" w:cs="Times New Roman" w:eastAsia="Times New Roman" w:hAnsi="Times New Roman"/>
          <w:sz w:val="24"/>
          <w:szCs w:val="24"/>
          <w:rtl w:val="0"/>
        </w:rPr>
        <w:t xml:space="preserve">: Niño, Derechos Humanos, Ministerio, Organización, Justicia. </w:t>
      </w:r>
    </w:p>
    <w:p w:rsidR="00000000" w:rsidDel="00000000" w:rsidP="00000000" w:rsidRDefault="00000000" w:rsidRPr="00000000" w14:paraId="0000000F">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Abstract</w:t>
      </w:r>
    </w:p>
    <w:p w:rsidR="00000000" w:rsidDel="00000000" w:rsidP="00000000" w:rsidRDefault="00000000" w:rsidRPr="00000000" w14:paraId="00000011">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Inter-American Court of Human Rights, in the last few years, has made it clear that the states adhered to the American Convention on Human Rights - Pact of San José, hereinafter Convention, must internally exercise a Control of Conventionality to ensure proper compliance with the same in the various administrative actions they deploy. In this line, the actions of the Ministry of Information and Communication Technologies and the Ministry of Education of Colombia, hereinafter MinTic and MinEducation, will be analyzed from 2022 to 2024. In order to identify the main decisions and pronouncements that ensured compliance with the rights of the child contained in article 19 of the Convention, which extend to a state orbit, as well as to a family and social level in which a minor develops. </w:t>
      </w:r>
    </w:p>
    <w:p w:rsidR="00000000" w:rsidDel="00000000" w:rsidP="00000000" w:rsidRDefault="00000000" w:rsidRPr="00000000" w14:paraId="00000012">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line="360" w:lineRule="auto"/>
        <w:ind w:left="0" w:firstLine="720.0000000000001"/>
        <w:jc w:val="both"/>
        <w:rPr>
          <w:rFonts w:ascii="Roboto" w:cs="Roboto" w:eastAsia="Roboto" w:hAnsi="Roboto"/>
          <w:color w:val="111111"/>
          <w:sz w:val="24"/>
          <w:szCs w:val="24"/>
        </w:rPr>
      </w:pPr>
      <w:r w:rsidDel="00000000" w:rsidR="00000000" w:rsidRPr="00000000">
        <w:rPr>
          <w:rFonts w:ascii="Times New Roman" w:cs="Times New Roman" w:eastAsia="Times New Roman" w:hAnsi="Times New Roman"/>
          <w:sz w:val="24"/>
          <w:szCs w:val="24"/>
          <w:rtl w:val="0"/>
        </w:rPr>
        <w:t xml:space="preserve">According to Sampieri (2014), this working paper will be carried out by means of a qualitative model methodology, of documentary type and with a descriptive scope, since it will allow identifying administrative acts, legal decision and agreements that can be contrasted with the American Convention on article 19 of the rights of the child; in that order of ideas, a compilation will be made that allows visualizing and inferring the scope of these interventions in technological and academic projects; as well as their transcendence in the implicit rights of children.</w:t>
      </w:r>
      <w:r w:rsidDel="00000000" w:rsidR="00000000" w:rsidRPr="00000000">
        <w:rPr>
          <w:rtl w:val="0"/>
        </w:rPr>
      </w:r>
    </w:p>
    <w:p w:rsidR="00000000" w:rsidDel="00000000" w:rsidP="00000000" w:rsidRDefault="00000000" w:rsidRPr="00000000" w14:paraId="00000014">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Introducción </w:t>
      </w:r>
    </w:p>
    <w:p w:rsidR="00000000" w:rsidDel="00000000" w:rsidP="00000000" w:rsidRDefault="00000000" w:rsidRPr="00000000" w14:paraId="00000016">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control de convencionalidad ha sido denominado por Carbonell (2013) como una herramienta útil y necesaria en la tarea de regular esas actuaciones al interior de los Estados, así como ejercer un apoyo correlativo con otros mecanismos como el constitucional, que poco más, lo que buscan es generar un óptimo acatamiento de lo establecido por la Convención, así como las demás disposiciones que le atañen al Derecho Extra-estatal; desde ese punto de vista, se desarrollará en el presente escrito, una contextualización previa de éste control de convencionalidad y poco a poco se dará una descripción sucinta de aquellas actuaciones realizadas por el MinEducación y el Ministerio de las TIC, para fijar aquellas novedades ejecutivas  a las que se ha sometido el Estado para proteger los derechos del menor. </w:t>
      </w:r>
    </w:p>
    <w:p w:rsidR="00000000" w:rsidDel="00000000" w:rsidP="00000000" w:rsidRDefault="00000000" w:rsidRPr="00000000" w14:paraId="00000017">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Considerando esto, se recuerdan aquellos acontecimientos occidentales violentos que tuvieron lugar tras dar fin a una segunda guerra mundial y conocerse aquellas graves amenazas a los derechos humanos: ya que allí, reparan los países en plantear estrategias de diálogo y conciliación que impidiera la repetición de tales hechos lamentables, dando lugar a la Conferencia Especializada Interamericana sobre Derechos Humanos en San José de Costa Rica, en donde se crea la Convención Americana, misma que tiene vigor a partir del 18 de junio de 1978. Para acatar aquellas disposiciones establecidas en la Convención, la Corte repara en especificar que el Control de Convencionalidad deviene para armonizar las decisiones internas de un Estado. Para ello, se presume que la tarea del control implica la expulsión de aquellas normas y actuaciones administrativas que sean contrarias a la Convención, sin perjuicio de suprimir también los proyectos, interpretaciones u otro tipo de manifestaciones por parte del Estado para con la misma; es decir que en primer momento, el rechazo que éste impone no sólo va por regla general de manera legislativa, como sí lo plantea el control de constitucionalidad, sino por el contrario, es transversal al mismo. </w:t>
      </w:r>
    </w:p>
    <w:p w:rsidR="00000000" w:rsidDel="00000000" w:rsidP="00000000" w:rsidRDefault="00000000" w:rsidRPr="00000000" w14:paraId="00000019">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spacing w:line="360" w:lineRule="auto"/>
        <w:ind w:left="0" w:firstLine="720.0000000000001"/>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La Corte también ha señalado que una manera para que ésto se convierta en una buena práctica legislativa y judicial, es importante hacer clara la información para las personas y de forma segura, lo que quiere decir que a pesar de que las autoridades de la nación están constantemente acorde con el imperio de la ley y deban aplicarla, de su accionar también se espera coherencia y que no reparen en mermar las disposiciones de la Convención, puesto que sin importar el cargo que ostenten en el cargo público, se espera de ellos que ejerzan de ex officio el control, porque cuando se halle una sentencia dentro del Estado, de ella se entenderá que emana una cadena de operaciones judiciales de diversos funcionarios y esto los obliga a estar familiarizados con un lenguaje común que son los derechos humanos.</w:t>
      </w:r>
      <w:r w:rsidDel="00000000" w:rsidR="00000000" w:rsidRPr="00000000">
        <w:rPr>
          <w:rtl w:val="0"/>
        </w:rPr>
      </w:r>
    </w:p>
    <w:p w:rsidR="00000000" w:rsidDel="00000000" w:rsidP="00000000" w:rsidRDefault="00000000" w:rsidRPr="00000000" w14:paraId="0000001B">
      <w:pPr>
        <w:spacing w:line="360" w:lineRule="auto"/>
        <w:ind w:left="0" w:firstLine="720.0000000000001"/>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C">
      <w:pPr>
        <w:spacing w:line="360" w:lineRule="auto"/>
        <w:ind w:left="0" w:firstLine="720.0000000000001"/>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D">
      <w:pPr>
        <w:spacing w:line="360" w:lineRule="auto"/>
        <w:ind w:left="0" w:firstLine="720.0000000000001"/>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E">
      <w:pPr>
        <w:spacing w:line="360" w:lineRule="auto"/>
        <w:ind w:left="0" w:firstLine="720.0000000000001"/>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F">
      <w:pPr>
        <w:spacing w:line="360" w:lineRule="auto"/>
        <w:ind w:left="0" w:firstLine="720.0000000000001"/>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0">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Metodología</w:t>
      </w:r>
      <w:r w:rsidDel="00000000" w:rsidR="00000000" w:rsidRPr="00000000">
        <w:rPr>
          <w:rtl w:val="0"/>
        </w:rPr>
      </w:r>
    </w:p>
    <w:p w:rsidR="00000000" w:rsidDel="00000000" w:rsidP="00000000" w:rsidRDefault="00000000" w:rsidRPr="00000000" w14:paraId="00000021">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desarrollo de este artículo se orientará con una metodología de tipo cualitativa, ya que su estudio se basará en documentos e información escrita acerca de los temas a tratar que en su desarrollo, describen aspectos legislativos, normativos y jurisprudenciales; a su vez, será de alcance descriptivo y no experimental, ya que se hará una aproximación a las diferentes fuentes jurídicas y legales que se han emitido en Colombia por el Ministerio de las TIC y Ministerio de Educación desde el 2022 hasta el 2024, además, contrastándolo con la Convención en su artículo 19 respecto de derechos del niño.</w:t>
      </w:r>
    </w:p>
    <w:p w:rsidR="00000000" w:rsidDel="00000000" w:rsidP="00000000" w:rsidRDefault="00000000" w:rsidRPr="00000000" w14:paraId="00000022">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Respecto del tipo, será documental ya que tendrá de fundamento pronunciamientos ejecutivos y legislativos que ya se encuentran publicados, además de hacer un repaso temporal de todos aquellos soportes adicionales de tipo doctrinal, que permitan redondear el concepto del Control de Convencionalidad, así como las posibles interpretaciones que ha generado la Corte Constitucional para adoptar el mismo. </w:t>
      </w:r>
    </w:p>
    <w:p w:rsidR="00000000" w:rsidDel="00000000" w:rsidP="00000000" w:rsidRDefault="00000000" w:rsidRPr="00000000" w14:paraId="00000024">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Resultados</w:t>
      </w:r>
    </w:p>
    <w:p w:rsidR="00000000" w:rsidDel="00000000" w:rsidP="00000000" w:rsidRDefault="00000000" w:rsidRPr="00000000" w14:paraId="00000026">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base en el análisis realizado, se llegó a un punto en común entre lo enmarcado por la Convención Americana y las últimas disposiciones tomadas por el MinTIC y el MinEducación;  puesto que se reflejaron efectos que demuestran haber realizado adecuaciones para los niños, de conformidad con la protección del Estado, de la sociedad y el amparo al que se refiere la Convención. </w:t>
      </w:r>
    </w:p>
    <w:p w:rsidR="00000000" w:rsidDel="00000000" w:rsidP="00000000" w:rsidRDefault="00000000" w:rsidRPr="00000000" w14:paraId="00000027">
      <w:pPr>
        <w:spacing w:line="360" w:lineRule="auto"/>
        <w:ind w:left="0" w:firstLine="720.000000000000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8">
      <w:pPr>
        <w:spacing w:line="360" w:lineRule="auto"/>
        <w:ind w:left="0" w:firstLine="720.0000000000001"/>
        <w:jc w:val="both"/>
        <w:rPr>
          <w:rFonts w:ascii="Times New Roman" w:cs="Times New Roman" w:eastAsia="Times New Roman" w:hAnsi="Times New Roman"/>
          <w:color w:val="4b4b4b"/>
          <w:sz w:val="24"/>
          <w:szCs w:val="24"/>
          <w:highlight w:val="white"/>
        </w:rPr>
      </w:pPr>
      <w:r w:rsidDel="00000000" w:rsidR="00000000" w:rsidRPr="00000000">
        <w:rPr>
          <w:rFonts w:ascii="Times New Roman" w:cs="Times New Roman" w:eastAsia="Times New Roman" w:hAnsi="Times New Roman"/>
          <w:sz w:val="24"/>
          <w:szCs w:val="24"/>
          <w:rtl w:val="0"/>
        </w:rPr>
        <w:t xml:space="preserve">Entre los años 2022 y 2024, el Ministerio de las TIC ha venido implementando diferentes programas y proyectos que revelan el cumplimiento del artículo 19 por parte del gobierno Colombiano, ya que con aras de proteger los derechos de los niños se han creado diversos programas que buscan generar un mayor cobertura de internet,  fomentar el uso de las tecnologías y llevar acceso a redes de WIFI a las zonas más apartadas del país. Entre los proyectos se encuentra la creación de los </w:t>
      </w:r>
      <w:r w:rsidDel="00000000" w:rsidR="00000000" w:rsidRPr="00000000">
        <w:rPr>
          <w:rFonts w:ascii="Times New Roman" w:cs="Times New Roman" w:eastAsia="Times New Roman" w:hAnsi="Times New Roman"/>
          <w:sz w:val="24"/>
          <w:szCs w:val="24"/>
          <w:rtl w:val="0"/>
        </w:rPr>
        <w:t xml:space="preserve">Centros PotencIA, los cuales fomentan el aprendizaje de Inteligencia A</w:t>
      </w:r>
      <w:r w:rsidDel="00000000" w:rsidR="00000000" w:rsidRPr="00000000">
        <w:rPr>
          <w:rFonts w:ascii="Times New Roman" w:cs="Times New Roman" w:eastAsia="Times New Roman" w:hAnsi="Times New Roman"/>
          <w:rtl w:val="0"/>
        </w:rPr>
        <w:t xml:space="preserve">rtificial en las aulas de clase. También se ha implementado el programa </w:t>
      </w:r>
      <w:r w:rsidDel="00000000" w:rsidR="00000000" w:rsidRPr="00000000">
        <w:rPr>
          <w:rFonts w:ascii="Times New Roman" w:cs="Times New Roman" w:eastAsia="Times New Roman" w:hAnsi="Times New Roman"/>
          <w:rtl w:val="0"/>
        </w:rPr>
        <w:t xml:space="preserve">Juntas de Internet - Comunidades de Conectividad,  que busca mejorar las redes de internet</w:t>
      </w:r>
      <w:r w:rsidDel="00000000" w:rsidR="00000000" w:rsidRPr="00000000">
        <w:rPr>
          <w:rFonts w:ascii="Times New Roman" w:cs="Times New Roman" w:eastAsia="Times New Roman" w:hAnsi="Times New Roman"/>
          <w:rtl w:val="0"/>
        </w:rPr>
        <w:t xml:space="preserve">  existentes y construirlas donde no existen, para que estas puedan generar una cobertura comunitaria especialmente en las Juntas de Acción Comunal y Comunidades Étnicas, con un cobro equitativo.</w:t>
      </w:r>
      <w:r w:rsidDel="00000000" w:rsidR="00000000" w:rsidRPr="00000000">
        <w:rPr>
          <w:rFonts w:ascii="Times New Roman" w:cs="Times New Roman" w:eastAsia="Times New Roman" w:hAnsi="Times New Roman"/>
          <w:color w:val="434343"/>
          <w:sz w:val="24"/>
          <w:szCs w:val="24"/>
          <w:highlight w:val="white"/>
          <w:rtl w:val="0"/>
        </w:rPr>
        <w:t xml:space="preserve">Por otro lado, se implementó el programa </w:t>
      </w:r>
      <w:r w:rsidDel="00000000" w:rsidR="00000000" w:rsidRPr="00000000">
        <w:rPr>
          <w:rFonts w:ascii="Times New Roman" w:cs="Times New Roman" w:eastAsia="Times New Roman" w:hAnsi="Times New Roman"/>
          <w:color w:val="4b4b4b"/>
          <w:sz w:val="24"/>
          <w:szCs w:val="24"/>
          <w:highlight w:val="white"/>
          <w:rtl w:val="0"/>
        </w:rPr>
        <w:t xml:space="preserve">CiberPaz, una iniciativa que busca incentivar el uso de la tecnología de una manera responsable y consciente, con el uso de charlas enfocadas en los derechos humanos.</w:t>
      </w:r>
    </w:p>
    <w:p w:rsidR="00000000" w:rsidDel="00000000" w:rsidP="00000000" w:rsidRDefault="00000000" w:rsidRPr="00000000" w14:paraId="00000029">
      <w:pPr>
        <w:spacing w:line="360" w:lineRule="auto"/>
        <w:ind w:left="0" w:firstLine="720.0000000000001"/>
        <w:jc w:val="both"/>
        <w:rPr>
          <w:rFonts w:ascii="Times New Roman" w:cs="Times New Roman" w:eastAsia="Times New Roman" w:hAnsi="Times New Roman"/>
          <w:color w:val="4b4b4b"/>
          <w:sz w:val="24"/>
          <w:szCs w:val="24"/>
          <w:highlight w:val="white"/>
        </w:rPr>
      </w:pPr>
      <w:r w:rsidDel="00000000" w:rsidR="00000000" w:rsidRPr="00000000">
        <w:rPr>
          <w:rtl w:val="0"/>
        </w:rPr>
      </w:r>
    </w:p>
    <w:p w:rsidR="00000000" w:rsidDel="00000000" w:rsidP="00000000" w:rsidRDefault="00000000" w:rsidRPr="00000000" w14:paraId="0000002A">
      <w:pPr>
        <w:spacing w:line="360" w:lineRule="auto"/>
        <w:ind w:left="0" w:firstLine="720.0000000000001"/>
        <w:jc w:val="both"/>
        <w:rPr>
          <w:rFonts w:ascii="Times New Roman" w:cs="Times New Roman" w:eastAsia="Times New Roman" w:hAnsi="Times New Roman"/>
          <w:color w:val="4b4b4b"/>
          <w:sz w:val="24"/>
          <w:szCs w:val="24"/>
          <w:highlight w:val="white"/>
        </w:rPr>
      </w:pPr>
      <w:r w:rsidDel="00000000" w:rsidR="00000000" w:rsidRPr="00000000">
        <w:rPr>
          <w:rFonts w:ascii="Times New Roman" w:cs="Times New Roman" w:eastAsia="Times New Roman" w:hAnsi="Times New Roman"/>
          <w:color w:val="4b4b4b"/>
          <w:sz w:val="24"/>
          <w:szCs w:val="24"/>
          <w:highlight w:val="white"/>
          <w:rtl w:val="0"/>
        </w:rPr>
        <w:t xml:space="preserve">El Plan Nacional de Desarrollo 2022 – 2026,</w:t>
      </w:r>
      <w:r w:rsidDel="00000000" w:rsidR="00000000" w:rsidRPr="00000000">
        <w:rPr>
          <w:rFonts w:ascii="Times New Roman" w:cs="Times New Roman" w:eastAsia="Times New Roman" w:hAnsi="Times New Roman"/>
          <w:i w:val="1"/>
          <w:color w:val="4b4b4b"/>
          <w:sz w:val="24"/>
          <w:szCs w:val="24"/>
          <w:highlight w:val="white"/>
          <w:rtl w:val="0"/>
        </w:rPr>
        <w:t xml:space="preserve"> </w:t>
      </w:r>
      <w:r w:rsidDel="00000000" w:rsidR="00000000" w:rsidRPr="00000000">
        <w:rPr>
          <w:rFonts w:ascii="Times New Roman" w:cs="Times New Roman" w:eastAsia="Times New Roman" w:hAnsi="Times New Roman"/>
          <w:color w:val="4b4b4b"/>
          <w:sz w:val="24"/>
          <w:szCs w:val="24"/>
          <w:highlight w:val="white"/>
          <w:rtl w:val="0"/>
        </w:rPr>
        <w:t xml:space="preserve">menciona en su artículo 142. Conectividad para Cambiar Vidas. inciso 1. sobre llevar conectividad digital a las zonas más vulnerables, y mejorar el acceso a las diferentes tecnologías. Con esta manifestación se demuestra el interés del Estado en proteger los derechos de los niños, ya que garantizar a los menores el acceso a las TICS significa para estos, mayores oportunidades de acceso a la educación. De igual manera, menciona el parágrafo segundo, sobre los equipamentos  que se obtengan en el Programa "Computadores para Educar”, que estos serán entregados a menores de edad en locaciones urbanas, rurales y de difícil acceso. En efecto, se ha buscado con este gobierno garantizar el acceso a herramientas tecnológicas a la niñez, como menciona el documento, promover una sociedad digital en la que los ciudadanos tengan acceso a las tecnologías como un instrumento de transformación social.</w:t>
      </w:r>
    </w:p>
    <w:p w:rsidR="00000000" w:rsidDel="00000000" w:rsidP="00000000" w:rsidRDefault="00000000" w:rsidRPr="00000000" w14:paraId="0000002B">
      <w:pPr>
        <w:spacing w:line="360" w:lineRule="auto"/>
        <w:ind w:left="0" w:firstLine="720.0000000000001"/>
        <w:jc w:val="both"/>
        <w:rPr>
          <w:rFonts w:ascii="Times New Roman" w:cs="Times New Roman" w:eastAsia="Times New Roman" w:hAnsi="Times New Roman"/>
          <w:color w:val="4b4b4b"/>
          <w:sz w:val="24"/>
          <w:szCs w:val="24"/>
          <w:highlight w:val="white"/>
        </w:rPr>
      </w:pPr>
      <w:r w:rsidDel="00000000" w:rsidR="00000000" w:rsidRPr="00000000">
        <w:rPr>
          <w:rtl w:val="0"/>
        </w:rPr>
      </w:r>
    </w:p>
    <w:p w:rsidR="00000000" w:rsidDel="00000000" w:rsidP="00000000" w:rsidRDefault="00000000" w:rsidRPr="00000000" w14:paraId="0000002C">
      <w:pPr>
        <w:spacing w:line="360" w:lineRule="auto"/>
        <w:ind w:left="0" w:firstLine="0"/>
        <w:jc w:val="both"/>
        <w:rPr>
          <w:rFonts w:ascii="Times New Roman" w:cs="Times New Roman" w:eastAsia="Times New Roman" w:hAnsi="Times New Roman"/>
          <w:color w:val="4b4b4b"/>
          <w:sz w:val="24"/>
          <w:szCs w:val="24"/>
          <w:highlight w:val="white"/>
        </w:rPr>
      </w:pPr>
      <w:r w:rsidDel="00000000" w:rsidR="00000000" w:rsidRPr="00000000">
        <w:rPr>
          <w:rFonts w:ascii="Times New Roman" w:cs="Times New Roman" w:eastAsia="Times New Roman" w:hAnsi="Times New Roman"/>
          <w:color w:val="4b4b4b"/>
          <w:sz w:val="24"/>
          <w:szCs w:val="24"/>
          <w:highlight w:val="white"/>
          <w:rtl w:val="0"/>
        </w:rPr>
        <w:tab/>
        <w:t xml:space="preserve">Respecto del año 2024, por parte del Ministerio de Educación se tuvieron más de veinte proyectos de ampliación de cobertura para las instituciones, lo que apostó por una mejora en las mismas e infraestructura para abrir más de treinta y nueve mil nuevos cupos de acceso a educación superior, tendencia que estaría fortaleciendo la proyección de los niños y jóvenes que una vez terminados sus estudios básicos, decidieran continuarlos. Describe además que ésto no sólo favorece los planes de vida de los mismos, sino su estabilidad estudiantil para poder desarrollar otras actividades posteriormente a su paso por las instituciones. Dicho lo anterior, se tiene entonces un compromiso Estatal y familiar para reducir la brecha de deserción, además de brindar mejores oportunidades a los futuros egresados.</w:t>
      </w:r>
    </w:p>
    <w:p w:rsidR="00000000" w:rsidDel="00000000" w:rsidP="00000000" w:rsidRDefault="00000000" w:rsidRPr="00000000" w14:paraId="0000002D">
      <w:pPr>
        <w:spacing w:line="360" w:lineRule="auto"/>
        <w:ind w:left="0" w:firstLine="720.0000000000001"/>
        <w:jc w:val="both"/>
        <w:rPr>
          <w:rFonts w:ascii="Times New Roman" w:cs="Times New Roman" w:eastAsia="Times New Roman" w:hAnsi="Times New Roman"/>
          <w:color w:val="4b4b4b"/>
          <w:sz w:val="24"/>
          <w:szCs w:val="24"/>
          <w:highlight w:val="white"/>
        </w:rPr>
      </w:pPr>
      <w:r w:rsidDel="00000000" w:rsidR="00000000" w:rsidRPr="00000000">
        <w:rPr>
          <w:rtl w:val="0"/>
        </w:rPr>
      </w:r>
    </w:p>
    <w:p w:rsidR="00000000" w:rsidDel="00000000" w:rsidP="00000000" w:rsidRDefault="00000000" w:rsidRPr="00000000" w14:paraId="0000002E">
      <w:pPr>
        <w:spacing w:line="360" w:lineRule="auto"/>
        <w:ind w:left="0" w:firstLine="0"/>
        <w:jc w:val="both"/>
        <w:rPr>
          <w:rFonts w:ascii="Times New Roman" w:cs="Times New Roman" w:eastAsia="Times New Roman" w:hAnsi="Times New Roman"/>
          <w:color w:val="4b4b4b"/>
          <w:sz w:val="24"/>
          <w:szCs w:val="24"/>
          <w:highlight w:val="white"/>
        </w:rPr>
      </w:pPr>
      <w:r w:rsidDel="00000000" w:rsidR="00000000" w:rsidRPr="00000000">
        <w:rPr>
          <w:rFonts w:ascii="Times New Roman" w:cs="Times New Roman" w:eastAsia="Times New Roman" w:hAnsi="Times New Roman"/>
          <w:b w:val="1"/>
          <w:color w:val="4b4b4b"/>
          <w:sz w:val="24"/>
          <w:szCs w:val="24"/>
          <w:highlight w:val="white"/>
          <w:rtl w:val="0"/>
        </w:rPr>
        <w:t xml:space="preserve">Conclusiones</w:t>
      </w:r>
      <w:r w:rsidDel="00000000" w:rsidR="00000000" w:rsidRPr="00000000">
        <w:rPr>
          <w:rFonts w:ascii="Times New Roman" w:cs="Times New Roman" w:eastAsia="Times New Roman" w:hAnsi="Times New Roman"/>
          <w:color w:val="4b4b4b"/>
          <w:sz w:val="24"/>
          <w:szCs w:val="24"/>
          <w:highlight w:val="white"/>
          <w:rtl w:val="0"/>
        </w:rPr>
        <w:t xml:space="preserve"> </w:t>
      </w:r>
    </w:p>
    <w:p w:rsidR="00000000" w:rsidDel="00000000" w:rsidP="00000000" w:rsidRDefault="00000000" w:rsidRPr="00000000" w14:paraId="0000002F">
      <w:pPr>
        <w:spacing w:line="360" w:lineRule="auto"/>
        <w:ind w:left="0" w:firstLine="720.0000000000001"/>
        <w:jc w:val="both"/>
        <w:rPr>
          <w:rFonts w:ascii="Times New Roman" w:cs="Times New Roman" w:eastAsia="Times New Roman" w:hAnsi="Times New Roman"/>
          <w:color w:val="4b4b4b"/>
          <w:sz w:val="24"/>
          <w:szCs w:val="24"/>
          <w:highlight w:val="white"/>
        </w:rPr>
      </w:pPr>
      <w:r w:rsidDel="00000000" w:rsidR="00000000" w:rsidRPr="00000000">
        <w:rPr>
          <w:rFonts w:ascii="Times New Roman" w:cs="Times New Roman" w:eastAsia="Times New Roman" w:hAnsi="Times New Roman"/>
          <w:color w:val="4b4b4b"/>
          <w:sz w:val="24"/>
          <w:szCs w:val="24"/>
          <w:highlight w:val="white"/>
          <w:rtl w:val="0"/>
        </w:rPr>
        <w:t xml:space="preserve">Se tuvo un alcance amplio respecto de los proyectos y pronunciamientos abordados, ya que durante un periodo de dos años, ambos Ministerios contaron con un gran volumen de desarrollo a nivel educativo y digital, tanto para los colegios, como para la recreación y el aprendizaje asertivo de los menores; muchos de ellos vinieron fundados en una necesidad indispensable como nuevo derecho, verbigracia el uso de Internet en zonas remotas, pues se ratificó que el Estado debía compromiso para con la enseñanza íntegra y globalizada de los niños y niñas, no sólo por su avance educativo, sino para cimentar su proyecto de vida.</w:t>
      </w:r>
    </w:p>
    <w:p w:rsidR="00000000" w:rsidDel="00000000" w:rsidP="00000000" w:rsidRDefault="00000000" w:rsidRPr="00000000" w14:paraId="00000030">
      <w:pPr>
        <w:spacing w:line="360" w:lineRule="auto"/>
        <w:ind w:left="0" w:firstLine="720.0000000000001"/>
        <w:jc w:val="both"/>
        <w:rPr>
          <w:rFonts w:ascii="Times New Roman" w:cs="Times New Roman" w:eastAsia="Times New Roman" w:hAnsi="Times New Roman"/>
          <w:color w:val="4b4b4b"/>
          <w:sz w:val="24"/>
          <w:szCs w:val="24"/>
          <w:highlight w:val="white"/>
        </w:rPr>
      </w:pPr>
      <w:r w:rsidDel="00000000" w:rsidR="00000000" w:rsidRPr="00000000">
        <w:rPr>
          <w:rtl w:val="0"/>
        </w:rPr>
      </w:r>
    </w:p>
    <w:p w:rsidR="00000000" w:rsidDel="00000000" w:rsidP="00000000" w:rsidRDefault="00000000" w:rsidRPr="00000000" w14:paraId="00000031">
      <w:pPr>
        <w:spacing w:line="360" w:lineRule="auto"/>
        <w:ind w:left="0" w:firstLine="720.0000000000001"/>
        <w:jc w:val="both"/>
        <w:rPr>
          <w:rFonts w:ascii="Times New Roman" w:cs="Times New Roman" w:eastAsia="Times New Roman" w:hAnsi="Times New Roman"/>
          <w:color w:val="4b4b4b"/>
          <w:sz w:val="24"/>
          <w:szCs w:val="24"/>
          <w:highlight w:val="white"/>
        </w:rPr>
      </w:pPr>
      <w:r w:rsidDel="00000000" w:rsidR="00000000" w:rsidRPr="00000000">
        <w:rPr>
          <w:rFonts w:ascii="Times New Roman" w:cs="Times New Roman" w:eastAsia="Times New Roman" w:hAnsi="Times New Roman"/>
          <w:color w:val="4b4b4b"/>
          <w:sz w:val="24"/>
          <w:szCs w:val="24"/>
          <w:highlight w:val="white"/>
          <w:rtl w:val="0"/>
        </w:rPr>
        <w:t xml:space="preserve">Además de ello, los avances de infraestructura, adecuación de aulas y demás, estuvieron sujetos a una observancia en mejorar la calidad de aprendizaje de los mismos estudiantes, apoyando aquellos enfoques interdisciplinarios que permitieran su desenvolvimiento no sólo estudiantil, sino también respecto de su proyecto de vida y aspiraciones a futuro, ya que el Gobierno Nacional apostó por incluir más proyectos educativos que permitieran esa introspección de los menores en pro de incentivarlos a descubrir sus gustos, derechos que desde luego están íntimamente ligados con el derecho al desarrollo de su personalidad y protección Estatal y familiar. </w:t>
      </w:r>
    </w:p>
    <w:p w:rsidR="00000000" w:rsidDel="00000000" w:rsidP="00000000" w:rsidRDefault="00000000" w:rsidRPr="00000000" w14:paraId="00000032">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7">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9">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A">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B">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C">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2">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4">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spacing w:line="36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spacing w:line="360" w:lineRule="auto"/>
        <w:ind w:left="0"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Referencias</w:t>
      </w:r>
    </w:p>
    <w:p w:rsidR="00000000" w:rsidDel="00000000" w:rsidP="00000000" w:rsidRDefault="00000000" w:rsidRPr="00000000" w14:paraId="00000047">
      <w:pPr>
        <w:spacing w:after="240" w:before="24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CIDH.Historia de la Corte Interamericana. Recuperado de:</w:t>
      </w:r>
      <w:hyperlink r:id="rId7">
        <w:r w:rsidDel="00000000" w:rsidR="00000000" w:rsidRPr="00000000">
          <w:rPr>
            <w:rFonts w:ascii="Times New Roman" w:cs="Times New Roman" w:eastAsia="Times New Roman" w:hAnsi="Times New Roman"/>
            <w:rtl w:val="0"/>
          </w:rPr>
          <w:t xml:space="preserve"> </w:t>
        </w:r>
      </w:hyperlink>
      <w:hyperlink r:id="rId8">
        <w:r w:rsidDel="00000000" w:rsidR="00000000" w:rsidRPr="00000000">
          <w:rPr>
            <w:rFonts w:ascii="Times New Roman" w:cs="Times New Roman" w:eastAsia="Times New Roman" w:hAnsi="Times New Roman"/>
            <w:color w:val="1155cc"/>
            <w:u w:val="single"/>
            <w:rtl w:val="0"/>
          </w:rPr>
          <w:t xml:space="preserve">https://www.corteidh.or.cr/historia.cfm</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8">
      <w:pPr>
        <w:spacing w:after="240" w:before="240" w:line="360" w:lineRule="auto"/>
        <w:ind w:left="323.14960629921256" w:hanging="323.1496062992125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Convención Americana sobre Derechos Humanos (Pacto de San José) (1978). Recuperado de:</w:t>
      </w:r>
      <w:hyperlink r:id="rId9">
        <w:r w:rsidDel="00000000" w:rsidR="00000000" w:rsidRPr="00000000">
          <w:rPr>
            <w:rFonts w:ascii="Times New Roman" w:cs="Times New Roman" w:eastAsia="Times New Roman" w:hAnsi="Times New Roman"/>
            <w:rtl w:val="0"/>
          </w:rPr>
          <w:t xml:space="preserve"> </w:t>
        </w:r>
      </w:hyperlink>
      <w:hyperlink r:id="rId10">
        <w:r w:rsidDel="00000000" w:rsidR="00000000" w:rsidRPr="00000000">
          <w:rPr>
            <w:rFonts w:ascii="Times New Roman" w:cs="Times New Roman" w:eastAsia="Times New Roman" w:hAnsi="Times New Roman"/>
            <w:color w:val="1155cc"/>
            <w:u w:val="single"/>
            <w:rtl w:val="0"/>
          </w:rPr>
          <w:t xml:space="preserve">https://www.corteidh.or.cr/tablas/17229a.pdf</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9">
      <w:pPr>
        <w:spacing w:after="240" w:before="240" w:line="360" w:lineRule="auto"/>
        <w:ind w:left="323.14960629921256" w:hanging="323.1496062992125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JEP. Sala de Prensa. Control de Convencionalidad. Recuperado de:</w:t>
      </w:r>
      <w:hyperlink r:id="rId11">
        <w:r w:rsidDel="00000000" w:rsidR="00000000" w:rsidRPr="00000000">
          <w:rPr>
            <w:rFonts w:ascii="Times New Roman" w:cs="Times New Roman" w:eastAsia="Times New Roman" w:hAnsi="Times New Roman"/>
            <w:rtl w:val="0"/>
          </w:rPr>
          <w:t xml:space="preserve"> </w:t>
        </w:r>
      </w:hyperlink>
      <w:hyperlink r:id="rId12">
        <w:r w:rsidDel="00000000" w:rsidR="00000000" w:rsidRPr="00000000">
          <w:rPr>
            <w:rFonts w:ascii="Times New Roman" w:cs="Times New Roman" w:eastAsia="Times New Roman" w:hAnsi="Times New Roman"/>
            <w:color w:val="1155cc"/>
            <w:u w:val="single"/>
            <w:rtl w:val="0"/>
          </w:rPr>
          <w:t xml:space="preserve">https://www.jep.gov.co/Sala-de-Prensa/Documents/convencionalidad.pdf</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A">
      <w:pPr>
        <w:spacing w:after="240" w:before="240" w:line="360" w:lineRule="auto"/>
        <w:ind w:left="323.14960629921256" w:hanging="323.1496062992125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Plan Nacional de Desarrollo 2022 – 2026, “Colombia Potencia de la Vida”. Recuperado de:</w:t>
      </w:r>
    </w:p>
    <w:p w:rsidR="00000000" w:rsidDel="00000000" w:rsidP="00000000" w:rsidRDefault="00000000" w:rsidRPr="00000000" w14:paraId="0000004B">
      <w:pPr>
        <w:spacing w:after="240" w:before="240" w:line="360" w:lineRule="auto"/>
        <w:ind w:left="323.14960629921256" w:hanging="323.14960629921256"/>
        <w:rPr>
          <w:rFonts w:ascii="Times New Roman" w:cs="Times New Roman" w:eastAsia="Times New Roman" w:hAnsi="Times New Roman"/>
        </w:rPr>
      </w:pPr>
      <w:hyperlink r:id="rId13">
        <w:r w:rsidDel="00000000" w:rsidR="00000000" w:rsidRPr="00000000">
          <w:rPr>
            <w:rFonts w:ascii="Times New Roman" w:cs="Times New Roman" w:eastAsia="Times New Roman" w:hAnsi="Times New Roman"/>
            <w:color w:val="1155cc"/>
            <w:u w:val="single"/>
            <w:rtl w:val="0"/>
          </w:rPr>
          <w:t xml:space="preserve">https://www.dnp.gov.co/plan-nacional-desarrollo/pnd-2022-2026</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C">
      <w:pPr>
        <w:spacing w:after="240" w:before="240" w:line="360" w:lineRule="auto"/>
        <w:ind w:left="323.14960629921256" w:hanging="323.14960629921256"/>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Saavedra,</w:t>
      </w:r>
      <w:r w:rsidDel="00000000" w:rsidR="00000000" w:rsidRPr="00000000">
        <w:rPr>
          <w:rFonts w:ascii="Times New Roman" w:cs="Times New Roman" w:eastAsia="Times New Roman" w:hAnsi="Times New Roman"/>
          <w:rtl w:val="0"/>
        </w:rPr>
        <w:t xml:space="preserve"> (2021) </w:t>
      </w:r>
      <w:r w:rsidDel="00000000" w:rsidR="00000000" w:rsidRPr="00000000">
        <w:rPr>
          <w:rFonts w:ascii="Times New Roman" w:cs="Times New Roman" w:eastAsia="Times New Roman" w:hAnsi="Times New Roman"/>
          <w:rtl w:val="0"/>
        </w:rPr>
        <w:t xml:space="preserve"> Desigualdades digitales, Aproximación sociojurídica al acceso a Internet en Colombia.- Bogota: Editorial Dejusticia. Recuperado de: </w:t>
      </w:r>
      <w:hyperlink r:id="rId14">
        <w:r w:rsidDel="00000000" w:rsidR="00000000" w:rsidRPr="00000000">
          <w:rPr>
            <w:rFonts w:ascii="Times New Roman" w:cs="Times New Roman" w:eastAsia="Times New Roman" w:hAnsi="Times New Roman"/>
            <w:color w:val="1155cc"/>
            <w:u w:val="single"/>
            <w:rtl w:val="0"/>
          </w:rPr>
          <w:t xml:space="preserve">https://www.dejusticia.org/publication/desigualdades-digitales-aproximacion-sociojuridica-al-accesoa-internet-en-colombia/</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D">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CIDH. Sentencia. Caso J.vs Perú. (2013). Recuperado de: </w:t>
      </w:r>
      <w:hyperlink r:id="rId15">
        <w:r w:rsidDel="00000000" w:rsidR="00000000" w:rsidRPr="00000000">
          <w:rPr>
            <w:rFonts w:ascii="Times New Roman" w:cs="Times New Roman" w:eastAsia="Times New Roman" w:hAnsi="Times New Roman"/>
            <w:color w:val="1155cc"/>
            <w:sz w:val="24"/>
            <w:szCs w:val="24"/>
            <w:u w:val="single"/>
            <w:rtl w:val="0"/>
          </w:rPr>
          <w:t xml:space="preserve">https://www.corteidh.or.cr/docs/casos/articulos/seriec_275_esp.pdf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E">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F">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Karlos.A Castilla. Control de convencionalidad interamericano. Recuperado de: </w:t>
      </w:r>
      <w:hyperlink r:id="rId16">
        <w:r w:rsidDel="00000000" w:rsidR="00000000" w:rsidRPr="00000000">
          <w:rPr>
            <w:rFonts w:ascii="Times New Roman" w:cs="Times New Roman" w:eastAsia="Times New Roman" w:hAnsi="Times New Roman"/>
            <w:color w:val="1155cc"/>
            <w:sz w:val="24"/>
            <w:szCs w:val="24"/>
            <w:u w:val="single"/>
            <w:rtl w:val="0"/>
          </w:rPr>
          <w:t xml:space="preserve">https://biblioteca.corteidh.or.cr/tablas/r36249.pdf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0">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1">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CIDH. Cuadernillo de Jurisprudencia de la Corte Interamericana de Derechos Humanos N7. Recuperado de:</w:t>
      </w:r>
      <w:hyperlink r:id="rId17">
        <w:r w:rsidDel="00000000" w:rsidR="00000000" w:rsidRPr="00000000">
          <w:rPr>
            <w:rFonts w:ascii="Times New Roman" w:cs="Times New Roman" w:eastAsia="Times New Roman" w:hAnsi="Times New Roman"/>
            <w:color w:val="1155cc"/>
            <w:sz w:val="24"/>
            <w:szCs w:val="24"/>
            <w:u w:val="single"/>
            <w:rtl w:val="0"/>
          </w:rPr>
          <w:t xml:space="preserve">https://corteidh.or.cr/sitios/libros/todos/docs/cuadernillo7.pdf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2">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3">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 Silva. ¿Qué efectos produce el control de convencionalidad decretado por la Corte Interamericana en un ordenamiento jurídico?. (2020). Recuperado de: </w:t>
      </w:r>
      <w:hyperlink r:id="rId18">
        <w:r w:rsidDel="00000000" w:rsidR="00000000" w:rsidRPr="00000000">
          <w:rPr>
            <w:rFonts w:ascii="Times New Roman" w:cs="Times New Roman" w:eastAsia="Times New Roman" w:hAnsi="Times New Roman"/>
            <w:color w:val="1155cc"/>
            <w:sz w:val="24"/>
            <w:szCs w:val="24"/>
            <w:u w:val="single"/>
            <w:rtl w:val="0"/>
          </w:rPr>
          <w:t xml:space="preserve">https://www.scielo.cl/scielo.php?script=sci_arttext&amp;pid=S0718-52002020000200265</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4">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5">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 Gutierrez. Control de constitucionalidad y control de convencionalidad: interacción, confusión y autonomía. Recuperado de: </w:t>
      </w:r>
      <w:hyperlink r:id="rId19">
        <w:r w:rsidDel="00000000" w:rsidR="00000000" w:rsidRPr="00000000">
          <w:rPr>
            <w:rFonts w:ascii="Times New Roman" w:cs="Times New Roman" w:eastAsia="Times New Roman" w:hAnsi="Times New Roman"/>
            <w:color w:val="1155cc"/>
            <w:sz w:val="24"/>
            <w:szCs w:val="24"/>
            <w:u w:val="single"/>
            <w:rtl w:val="0"/>
          </w:rPr>
          <w:t xml:space="preserve">https://biblioteca.corteidh.or.cr/tablas/r36283.pdf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6">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7">
      <w:pPr>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8">
      <w:pPr>
        <w:jc w:val="left"/>
        <w:rPr>
          <w:rFonts w:ascii="Times New Roman" w:cs="Times New Roman" w:eastAsia="Times New Roman" w:hAnsi="Times New Roman"/>
        </w:rPr>
      </w:pPr>
      <w:r w:rsidDel="00000000" w:rsidR="00000000" w:rsidRPr="00000000">
        <w:rPr>
          <w:rtl w:val="0"/>
        </w:rPr>
      </w:r>
    </w:p>
    <w:sectPr>
      <w:headerReference r:id="rId20" w:type="default"/>
      <w:headerReference r:id="rId21" w:type="first"/>
      <w:footerReference r:id="rId22" w:type="default"/>
      <w:footerReference r:id="rId23" w:type="firs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B">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4">
    <w:pPr>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5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Documento de trabajo resultado de la práctica investigativa dentro de la Especialización en Derecho Internacional Público con énfasis en Derechos Humanos.</w:t>
      </w:r>
    </w:p>
    <w:p w:rsidR="00000000" w:rsidDel="00000000" w:rsidP="00000000" w:rsidRDefault="00000000" w:rsidRPr="00000000" w14:paraId="0000005D">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Estudiante de décimo semestre Pregrado de Derecho y Especialización en Derecho Internacional Público, </w:t>
      </w:r>
    </w:p>
    <w:p w:rsidR="00000000" w:rsidDel="00000000" w:rsidP="00000000" w:rsidRDefault="00000000" w:rsidRPr="00000000" w14:paraId="0000005E">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Cvlac </w:t>
      </w:r>
      <w:hyperlink r:id="rId1">
        <w:r w:rsidDel="00000000" w:rsidR="00000000" w:rsidRPr="00000000">
          <w:rPr>
            <w:rFonts w:ascii="Times New Roman" w:cs="Times New Roman" w:eastAsia="Times New Roman" w:hAnsi="Times New Roman"/>
            <w:color w:val="1155cc"/>
            <w:sz w:val="20"/>
            <w:szCs w:val="20"/>
            <w:u w:val="single"/>
            <w:rtl w:val="0"/>
          </w:rPr>
          <w:t xml:space="preserve">https://scienti.minciencias.gov.co/cvlac/visualizador/generarCurriculoCv.do?cod_rh=0001926813</w:t>
        </w:r>
      </w:hyperlink>
      <w:r w:rsidDel="00000000" w:rsidR="00000000" w:rsidRPr="00000000">
        <w:rPr>
          <w:rtl w:val="0"/>
        </w:rPr>
      </w:r>
    </w:p>
    <w:p w:rsidR="00000000" w:rsidDel="00000000" w:rsidP="00000000" w:rsidRDefault="00000000" w:rsidRPr="00000000" w14:paraId="0000005F">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Oircid  </w:t>
      </w:r>
      <w:hyperlink r:id="rId2">
        <w:r w:rsidDel="00000000" w:rsidR="00000000" w:rsidRPr="00000000">
          <w:rPr>
            <w:rFonts w:ascii="Times New Roman" w:cs="Times New Roman" w:eastAsia="Times New Roman" w:hAnsi="Times New Roman"/>
            <w:color w:val="1155cc"/>
            <w:sz w:val="20"/>
            <w:szCs w:val="20"/>
            <w:u w:val="single"/>
            <w:rtl w:val="0"/>
          </w:rPr>
          <w:t xml:space="preserve">https://orcid.org/0009-0003-2902-660X</w:t>
        </w:r>
      </w:hyperlink>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60">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Google Académico </w:t>
      </w:r>
      <w:hyperlink r:id="rId3">
        <w:r w:rsidDel="00000000" w:rsidR="00000000" w:rsidRPr="00000000">
          <w:rPr>
            <w:rFonts w:ascii="Times New Roman" w:cs="Times New Roman" w:eastAsia="Times New Roman" w:hAnsi="Times New Roman"/>
            <w:color w:val="1155cc"/>
            <w:sz w:val="20"/>
            <w:szCs w:val="20"/>
            <w:u w:val="single"/>
            <w:rtl w:val="0"/>
          </w:rPr>
          <w:t xml:space="preserve">https://scholar.google.es/citations?view_op=new_articles&amp;hl=es&amp;imq=Milena+Estefania+</w:t>
        </w:r>
      </w:hyperlink>
      <w:r w:rsidDel="00000000" w:rsidR="00000000" w:rsidRPr="00000000">
        <w:rPr>
          <w:rtl w:val="0"/>
        </w:rPr>
      </w:r>
    </w:p>
    <w:p w:rsidR="00000000" w:rsidDel="00000000" w:rsidP="00000000" w:rsidRDefault="00000000" w:rsidRPr="00000000" w14:paraId="00000061">
      <w:pPr>
        <w:spacing w:line="240" w:lineRule="auto"/>
        <w:rPr>
          <w:sz w:val="20"/>
          <w:szCs w:val="20"/>
        </w:rPr>
      </w:pPr>
      <w:r w:rsidDel="00000000" w:rsidR="00000000" w:rsidRPr="00000000">
        <w:rPr>
          <w:rtl w:val="0"/>
        </w:rPr>
      </w:r>
    </w:p>
    <w:p w:rsidR="00000000" w:rsidDel="00000000" w:rsidP="00000000" w:rsidRDefault="00000000" w:rsidRPr="00000000" w14:paraId="00000062">
      <w:pPr>
        <w:spacing w:line="240" w:lineRule="auto"/>
        <w:rPr>
          <w:sz w:val="20"/>
          <w:szCs w:val="20"/>
        </w:rPr>
      </w:pP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9">
    <w:pPr>
      <w:spacing w:after="240" w:before="240" w:lineRule="auto"/>
      <w:ind w:left="4320" w:firstLine="0"/>
      <w:rPr>
        <w:rFonts w:ascii="Times New Roman" w:cs="Times New Roman" w:eastAsia="Times New Roman" w:hAnsi="Times New Roman"/>
        <w:b w:val="1"/>
        <w:color w:val="202124"/>
        <w:sz w:val="20"/>
        <w:szCs w:val="20"/>
      </w:rPr>
    </w:pPr>
    <w:r w:rsidDel="00000000" w:rsidR="00000000" w:rsidRPr="00000000">
      <w:rPr>
        <w:rFonts w:ascii="Times New Roman" w:cs="Times New Roman" w:eastAsia="Times New Roman" w:hAnsi="Times New Roman"/>
        <w:b w:val="1"/>
        <w:color w:val="202124"/>
        <w:sz w:val="20"/>
        <w:szCs w:val="20"/>
        <w:rtl w:val="0"/>
      </w:rPr>
      <w:tab/>
      <w:tab/>
      <w:tab/>
      <w:tab/>
      <w:tab/>
      <w:tab/>
    </w:r>
    <w:r w:rsidDel="00000000" w:rsidR="00000000" w:rsidRPr="00000000">
      <w:rPr>
        <w:rFonts w:ascii="Times New Roman" w:cs="Times New Roman" w:eastAsia="Times New Roman" w:hAnsi="Times New Roman"/>
        <w:b w:val="1"/>
        <w:color w:val="202124"/>
        <w:sz w:val="20"/>
        <w:szCs w:val="2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5A">
    <w:pPr>
      <w:spacing w:after="240" w:before="240" w:lineRule="auto"/>
      <w:rPr>
        <w:rFonts w:ascii="Times New Roman" w:cs="Times New Roman" w:eastAsia="Times New Roman" w:hAnsi="Times New Roman"/>
        <w:b w:val="1"/>
        <w:color w:val="202124"/>
        <w:sz w:val="20"/>
        <w:szCs w:val="2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3">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eader" Target="header1.xml"/><Relationship Id="rId11" Type="http://schemas.openxmlformats.org/officeDocument/2006/relationships/hyperlink" Target="https://www.jep.gov.co/Sala-de-Prensa/Documents/convencionalidad.pdf" TargetMode="External"/><Relationship Id="rId22" Type="http://schemas.openxmlformats.org/officeDocument/2006/relationships/footer" Target="footer1.xml"/><Relationship Id="rId10" Type="http://schemas.openxmlformats.org/officeDocument/2006/relationships/hyperlink" Target="https://www.corteidh.or.cr/tablas/17229a.pdf" TargetMode="External"/><Relationship Id="rId21" Type="http://schemas.openxmlformats.org/officeDocument/2006/relationships/header" Target="header2.xml"/><Relationship Id="rId13" Type="http://schemas.openxmlformats.org/officeDocument/2006/relationships/hyperlink" Target="https://www.dnp.gov.co/plan-nacional-desarrollo/pnd-2022-2026" TargetMode="External"/><Relationship Id="rId12" Type="http://schemas.openxmlformats.org/officeDocument/2006/relationships/hyperlink" Target="https://www.jep.gov.co/Sala-de-Prensa/Documents/convencionalidad.pdf" TargetMode="External"/><Relationship Id="rId23" Type="http://schemas.openxmlformats.org/officeDocument/2006/relationships/footer" Target="foot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corteidh.or.cr/tablas/17229a.pdf" TargetMode="External"/><Relationship Id="rId15" Type="http://schemas.openxmlformats.org/officeDocument/2006/relationships/hyperlink" Target="https://www.corteidh.or.cr/docs/casos/articulos/seriec_275_esp.pdf" TargetMode="External"/><Relationship Id="rId14" Type="http://schemas.openxmlformats.org/officeDocument/2006/relationships/hyperlink" Target="https://www.dejusticia.org/publication/desigualdades-digitales-aproximacion-sociojuridica-al-accesoa-internet-en-colombia/" TargetMode="External"/><Relationship Id="rId17" Type="http://schemas.openxmlformats.org/officeDocument/2006/relationships/hyperlink" Target="https://corteidh.or.cr/sitios/libros/todos/docs/cuadernillo7.pdf" TargetMode="External"/><Relationship Id="rId16" Type="http://schemas.openxmlformats.org/officeDocument/2006/relationships/hyperlink" Target="https://biblioteca.corteidh.or.cr/tablas/r36249.pdf" TargetMode="External"/><Relationship Id="rId5" Type="http://schemas.openxmlformats.org/officeDocument/2006/relationships/numbering" Target="numbering.xml"/><Relationship Id="rId19" Type="http://schemas.openxmlformats.org/officeDocument/2006/relationships/hyperlink" Target="https://biblioteca.corteidh.or.cr/tablas/r36283.pdf" TargetMode="External"/><Relationship Id="rId6" Type="http://schemas.openxmlformats.org/officeDocument/2006/relationships/styles" Target="styles.xml"/><Relationship Id="rId18" Type="http://schemas.openxmlformats.org/officeDocument/2006/relationships/hyperlink" Target="https://www.scielo.cl/scielo.php?script=sci_arttext&amp;pid=S0718-52002020000200265" TargetMode="External"/><Relationship Id="rId7" Type="http://schemas.openxmlformats.org/officeDocument/2006/relationships/hyperlink" Target="https://www.corteidh.or.cr/historia.cfm" TargetMode="External"/><Relationship Id="rId8" Type="http://schemas.openxmlformats.org/officeDocument/2006/relationships/hyperlink" Target="https://www.corteidh.or.cr/historia.cf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_rels/footnotes.xml.rels><?xml version="1.0" encoding="UTF-8" standalone="yes"?><Relationships xmlns="http://schemas.openxmlformats.org/package/2006/relationships"><Relationship Id="rId1" Type="http://schemas.openxmlformats.org/officeDocument/2006/relationships/hyperlink" Target="https://scienti.minciencias.gov.co/cvlac/visualizador/generarCurriculoCv.do?cod_rh=0001926813" TargetMode="External"/><Relationship Id="rId2" Type="http://schemas.openxmlformats.org/officeDocument/2006/relationships/hyperlink" Target="https://orcid.org/0009-0003-2902-660X" TargetMode="External"/><Relationship Id="rId3" Type="http://schemas.openxmlformats.org/officeDocument/2006/relationships/hyperlink" Target="https://scholar.google.es/citations?view_op=new_articles&amp;hl=es&amp;imq=Milena+Estefania+Aguilera+Guang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